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E6" w:rsidRDefault="009F7AE6" w:rsidP="008C0B58">
      <w:pPr>
        <w:pStyle w:val="4"/>
        <w:numPr>
          <w:ilvl w:val="0"/>
          <w:numId w:val="3"/>
        </w:numPr>
        <w:rPr>
          <w:szCs w:val="28"/>
        </w:rPr>
      </w:pPr>
      <w:r w:rsidRPr="009F7AE6">
        <w:rPr>
          <w:szCs w:val="28"/>
        </w:rPr>
        <w:t>ЗАГАЛЬНІ ПОЛОЖЕННЯ</w:t>
      </w:r>
    </w:p>
    <w:p w:rsidR="008C0B58" w:rsidRPr="008C0B58" w:rsidRDefault="008C0B58" w:rsidP="008C0B58">
      <w:pPr>
        <w:pStyle w:val="a9"/>
        <w:ind w:left="360"/>
        <w:rPr>
          <w:lang w:eastAsia="ru-RU"/>
        </w:rPr>
      </w:pPr>
    </w:p>
    <w:p w:rsidR="009F7AE6" w:rsidRDefault="009F7AE6" w:rsidP="0060402F">
      <w:pPr>
        <w:pStyle w:val="210"/>
        <w:numPr>
          <w:ilvl w:val="1"/>
          <w:numId w:val="3"/>
        </w:numPr>
        <w:rPr>
          <w:szCs w:val="28"/>
        </w:rPr>
      </w:pPr>
      <w:r w:rsidRPr="009F7AE6">
        <w:rPr>
          <w:szCs w:val="28"/>
        </w:rPr>
        <w:t>Це положення розроблене відповідно до чинного законодавства України, Статуту Львівського національного університету імені Івана Франка, є документом, який регламентує діяльність Музею історії Львівського національного університету імені Івана Франка (надалі -  Музей історії Університету).</w:t>
      </w:r>
    </w:p>
    <w:p w:rsidR="000706B1" w:rsidRPr="009F7AE6" w:rsidRDefault="000706B1" w:rsidP="0060402F">
      <w:pPr>
        <w:pStyle w:val="210"/>
        <w:ind w:left="1287" w:firstLine="0"/>
        <w:rPr>
          <w:szCs w:val="28"/>
        </w:rPr>
      </w:pP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1.2.</w:t>
      </w:r>
      <w:r w:rsidRPr="009F7AE6">
        <w:rPr>
          <w:rFonts w:ascii="Times New Roman" w:hAnsi="Times New Roman" w:cs="Times New Roman"/>
          <w:sz w:val="28"/>
          <w:szCs w:val="28"/>
        </w:rPr>
        <w:tab/>
        <w:t>Музей історії Університету є структурним підрозділом Львівського національного університету імені Івана Франка (надалі - Університет).</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1.3.</w:t>
      </w:r>
      <w:r w:rsidRPr="009F7AE6">
        <w:rPr>
          <w:rFonts w:ascii="Times New Roman" w:hAnsi="Times New Roman" w:cs="Times New Roman"/>
          <w:sz w:val="28"/>
          <w:szCs w:val="28"/>
        </w:rPr>
        <w:tab/>
        <w:t>Засновником Музею історії Університету є Львівський національний університет імені Івана Франка (надалі - Засновник).</w:t>
      </w:r>
    </w:p>
    <w:p w:rsidR="009F7AE6" w:rsidRDefault="009F7AE6" w:rsidP="0060402F">
      <w:pPr>
        <w:pStyle w:val="21"/>
        <w:ind w:left="1276" w:hanging="709"/>
        <w:rPr>
          <w:szCs w:val="28"/>
        </w:rPr>
      </w:pPr>
      <w:r w:rsidRPr="009F7AE6">
        <w:rPr>
          <w:szCs w:val="28"/>
        </w:rPr>
        <w:t>1.4.</w:t>
      </w:r>
      <w:r w:rsidRPr="009F7AE6">
        <w:rPr>
          <w:szCs w:val="28"/>
        </w:rPr>
        <w:tab/>
        <w:t>Музей історії Університету здійснює свою діяльність відповідно до Конституції України, Закону України "Про освіту", Закону України "Про вищу освіту", Закону України "Про музеї та музейну справу", Статуту Львівського національного Університету імені Івана Франка та даного Положення.</w:t>
      </w:r>
    </w:p>
    <w:p w:rsidR="000706B1" w:rsidRPr="009F7AE6" w:rsidRDefault="000706B1" w:rsidP="0060402F">
      <w:pPr>
        <w:pStyle w:val="21"/>
        <w:ind w:left="1276" w:hanging="709"/>
        <w:rPr>
          <w:szCs w:val="28"/>
        </w:rPr>
      </w:pP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1.5.</w:t>
      </w:r>
      <w:r w:rsidRPr="009F7AE6">
        <w:rPr>
          <w:rFonts w:ascii="Times New Roman" w:hAnsi="Times New Roman" w:cs="Times New Roman"/>
          <w:sz w:val="28"/>
          <w:szCs w:val="28"/>
        </w:rPr>
        <w:tab/>
        <w:t>Повне найменування структурного підрозділу: Народний музей історії Львівського національного університету імені Івана Франка.</w:t>
      </w:r>
    </w:p>
    <w:p w:rsidR="009F7AE6" w:rsidRPr="009F7AE6" w:rsidRDefault="009F7AE6" w:rsidP="0060402F">
      <w:pPr>
        <w:widowControl w:val="0"/>
        <w:spacing w:line="240" w:lineRule="auto"/>
        <w:ind w:left="567"/>
        <w:jc w:val="both"/>
        <w:rPr>
          <w:rFonts w:ascii="Times New Roman" w:hAnsi="Times New Roman" w:cs="Times New Roman"/>
          <w:sz w:val="28"/>
          <w:szCs w:val="28"/>
        </w:rPr>
      </w:pPr>
      <w:r w:rsidRPr="009F7AE6">
        <w:rPr>
          <w:rFonts w:ascii="Times New Roman" w:hAnsi="Times New Roman" w:cs="Times New Roman"/>
          <w:sz w:val="28"/>
          <w:szCs w:val="28"/>
        </w:rPr>
        <w:t>1.6.    Місцезнаходження Музею історії Університету:</w:t>
      </w:r>
    </w:p>
    <w:p w:rsidR="009F7AE6" w:rsidRPr="009F7AE6" w:rsidRDefault="009F7AE6" w:rsidP="0060402F">
      <w:pPr>
        <w:widowControl w:val="0"/>
        <w:spacing w:line="240" w:lineRule="auto"/>
        <w:ind w:left="552" w:firstLine="720"/>
        <w:jc w:val="both"/>
        <w:rPr>
          <w:rFonts w:ascii="Times New Roman" w:hAnsi="Times New Roman" w:cs="Times New Roman"/>
          <w:sz w:val="28"/>
          <w:szCs w:val="28"/>
        </w:rPr>
      </w:pPr>
      <w:r w:rsidRPr="009F7AE6">
        <w:rPr>
          <w:rFonts w:ascii="Times New Roman" w:hAnsi="Times New Roman" w:cs="Times New Roman"/>
          <w:sz w:val="28"/>
          <w:szCs w:val="28"/>
        </w:rPr>
        <w:t>79000 м. Львів,</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вул Університетська 1</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аудиторії 221, 222.</w:t>
      </w:r>
    </w:p>
    <w:p w:rsidR="009F7AE6" w:rsidRPr="009F7AE6" w:rsidRDefault="009F7AE6" w:rsidP="0060402F">
      <w:pPr>
        <w:widowControl w:val="0"/>
        <w:spacing w:line="240" w:lineRule="auto"/>
        <w:ind w:left="1276"/>
        <w:jc w:val="both"/>
        <w:rPr>
          <w:rFonts w:ascii="Times New Roman" w:hAnsi="Times New Roman" w:cs="Times New Roman"/>
          <w:sz w:val="28"/>
          <w:szCs w:val="28"/>
        </w:rPr>
      </w:pPr>
    </w:p>
    <w:p w:rsidR="009F7AE6" w:rsidRPr="009F7AE6" w:rsidRDefault="009F7AE6" w:rsidP="0060402F">
      <w:pPr>
        <w:widowControl w:val="0"/>
        <w:spacing w:line="240" w:lineRule="auto"/>
        <w:ind w:left="1276" w:hanging="709"/>
        <w:jc w:val="center"/>
        <w:rPr>
          <w:rFonts w:ascii="Times New Roman" w:hAnsi="Times New Roman" w:cs="Times New Roman"/>
          <w:sz w:val="28"/>
          <w:szCs w:val="28"/>
        </w:rPr>
      </w:pPr>
      <w:r w:rsidRPr="009F7AE6">
        <w:rPr>
          <w:rFonts w:ascii="Times New Roman" w:hAnsi="Times New Roman" w:cs="Times New Roman"/>
          <w:b/>
          <w:sz w:val="28"/>
          <w:szCs w:val="28"/>
        </w:rPr>
        <w:t>2.</w:t>
      </w:r>
      <w:r w:rsidRPr="009F7AE6">
        <w:rPr>
          <w:rFonts w:ascii="Times New Roman" w:hAnsi="Times New Roman" w:cs="Times New Roman"/>
          <w:b/>
          <w:sz w:val="28"/>
          <w:szCs w:val="28"/>
        </w:rPr>
        <w:tab/>
        <w:t xml:space="preserve"> МЕТА СТВОРЕННЯ ТА ОСНОВНІ НАПРЯМКИ РОБОТИ</w:t>
      </w:r>
      <w:r w:rsidRPr="009F7AE6">
        <w:rPr>
          <w:rFonts w:ascii="Times New Roman" w:hAnsi="Times New Roman" w:cs="Times New Roman"/>
          <w:sz w:val="28"/>
          <w:szCs w:val="28"/>
        </w:rPr>
        <w:t xml:space="preserve"> </w:t>
      </w:r>
    </w:p>
    <w:p w:rsidR="009F7AE6" w:rsidRPr="0060402F" w:rsidRDefault="009F7AE6" w:rsidP="0060402F">
      <w:pPr>
        <w:widowControl w:val="0"/>
        <w:spacing w:line="240" w:lineRule="auto"/>
        <w:ind w:left="1276" w:hanging="709"/>
        <w:jc w:val="center"/>
        <w:rPr>
          <w:rFonts w:ascii="Times New Roman" w:hAnsi="Times New Roman" w:cs="Times New Roman"/>
          <w:b/>
          <w:caps/>
          <w:sz w:val="28"/>
          <w:szCs w:val="28"/>
        </w:rPr>
      </w:pPr>
      <w:r w:rsidRPr="009F7AE6">
        <w:rPr>
          <w:rFonts w:ascii="Times New Roman" w:hAnsi="Times New Roman" w:cs="Times New Roman"/>
          <w:b/>
          <w:caps/>
          <w:sz w:val="28"/>
          <w:szCs w:val="28"/>
        </w:rPr>
        <w:t>Музею історії Університету</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2.1.</w:t>
      </w:r>
      <w:r w:rsidRPr="009F7AE6">
        <w:rPr>
          <w:rFonts w:ascii="Times New Roman" w:hAnsi="Times New Roman" w:cs="Times New Roman"/>
          <w:sz w:val="28"/>
          <w:szCs w:val="28"/>
        </w:rPr>
        <w:tab/>
        <w:t xml:space="preserve">Музей історії Університету створений з метою вивчення, збереження і використання матеріальних цінностей, що свідчать про розвиток науки, освіти і традицій академічної громади Львівського університету. </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 xml:space="preserve">2.2. </w:t>
      </w:r>
      <w:r w:rsidRPr="009F7AE6">
        <w:rPr>
          <w:rFonts w:ascii="Times New Roman" w:hAnsi="Times New Roman" w:cs="Times New Roman"/>
          <w:sz w:val="28"/>
          <w:szCs w:val="28"/>
        </w:rPr>
        <w:tab/>
        <w:t>Основними напрямками його діяльності є допомога в організації навчально-виховного процесу, науково-дослідна, експозиційна, фондова та пам'яткоохоронна роботи, комплектування музейних зібрань.</w:t>
      </w:r>
    </w:p>
    <w:p w:rsidR="009F7AE6" w:rsidRDefault="009F7AE6" w:rsidP="0060402F">
      <w:pPr>
        <w:pStyle w:val="210"/>
        <w:rPr>
          <w:szCs w:val="28"/>
        </w:rPr>
      </w:pPr>
      <w:r w:rsidRPr="009F7AE6">
        <w:rPr>
          <w:szCs w:val="28"/>
        </w:rPr>
        <w:t>2.3.</w:t>
      </w:r>
      <w:r w:rsidRPr="009F7AE6">
        <w:rPr>
          <w:szCs w:val="28"/>
        </w:rPr>
        <w:tab/>
        <w:t xml:space="preserve">Музей історії Університету пропагує, популяризує досягнення науки, культури та мистецтв, надає можливість ученим використовувати експозиційний та фондовий матеріал у дослідницькій роботі та навчальному процесі. </w:t>
      </w:r>
    </w:p>
    <w:p w:rsidR="000706B1" w:rsidRPr="009F7AE6" w:rsidRDefault="000706B1" w:rsidP="0060402F">
      <w:pPr>
        <w:pStyle w:val="210"/>
        <w:rPr>
          <w:szCs w:val="28"/>
        </w:rPr>
      </w:pP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2.4.</w:t>
      </w:r>
      <w:r w:rsidRPr="009F7AE6">
        <w:rPr>
          <w:rFonts w:ascii="Times New Roman" w:hAnsi="Times New Roman" w:cs="Times New Roman"/>
          <w:sz w:val="28"/>
          <w:szCs w:val="28"/>
        </w:rPr>
        <w:tab/>
        <w:t>Музей історії Університету надає допомогу в написанні наукових робіт студентам усіх факультетів Університету, студентам інших освітніх закладів Львова та області.</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2.5.</w:t>
      </w:r>
      <w:r w:rsidRPr="009F7AE6">
        <w:rPr>
          <w:rFonts w:ascii="Times New Roman" w:hAnsi="Times New Roman" w:cs="Times New Roman"/>
          <w:sz w:val="28"/>
          <w:szCs w:val="28"/>
        </w:rPr>
        <w:tab/>
        <w:t>Освітньо-виховну роботу з учнями шкіл, інших навчальних закладів Львова та області Музей історії Університету здійснює шляхом проведення оглядових і тематичних екскурсій, уроків-екскурсій, надання консультацій з питань історії Університету.</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2.6.</w:t>
      </w:r>
      <w:r w:rsidRPr="009F7AE6">
        <w:rPr>
          <w:rFonts w:ascii="Times New Roman" w:hAnsi="Times New Roman" w:cs="Times New Roman"/>
          <w:sz w:val="28"/>
          <w:szCs w:val="28"/>
        </w:rPr>
        <w:tab/>
        <w:t>Музей історії Університету бере участь у наукових конференціях і семінарах, популяризує свою роботу в пресі, на радіо, по телебаченні.</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2.7.</w:t>
      </w:r>
      <w:r w:rsidRPr="009F7AE6">
        <w:rPr>
          <w:rFonts w:ascii="Times New Roman" w:hAnsi="Times New Roman" w:cs="Times New Roman"/>
          <w:sz w:val="28"/>
          <w:szCs w:val="28"/>
        </w:rPr>
        <w:tab/>
        <w:t>Музей історії Університету співпрацює з науковими вітчизняними та зарубіжними установами, з ученими, які займаються вивченням історії науки.</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 xml:space="preserve">2.8. </w:t>
      </w:r>
      <w:r w:rsidRPr="009F7AE6">
        <w:rPr>
          <w:rFonts w:ascii="Times New Roman" w:hAnsi="Times New Roman" w:cs="Times New Roman"/>
          <w:sz w:val="28"/>
          <w:szCs w:val="28"/>
        </w:rPr>
        <w:tab/>
        <w:t>Музей історії Університету може видавати продукцію наукового,  науково – популярного і рекламного характеру.</w:t>
      </w:r>
    </w:p>
    <w:p w:rsidR="009F7AE6" w:rsidRPr="009F7AE6" w:rsidRDefault="009F7AE6" w:rsidP="0060402F">
      <w:pPr>
        <w:widowControl w:val="0"/>
        <w:spacing w:line="240" w:lineRule="auto"/>
        <w:ind w:left="1276" w:hanging="709"/>
        <w:jc w:val="center"/>
        <w:rPr>
          <w:rFonts w:ascii="Times New Roman" w:hAnsi="Times New Roman" w:cs="Times New Roman"/>
          <w:b/>
          <w:sz w:val="28"/>
          <w:szCs w:val="28"/>
        </w:rPr>
      </w:pPr>
    </w:p>
    <w:p w:rsidR="009F7AE6" w:rsidRDefault="009F7AE6" w:rsidP="0060402F">
      <w:pPr>
        <w:pStyle w:val="a3"/>
        <w:numPr>
          <w:ilvl w:val="0"/>
          <w:numId w:val="1"/>
        </w:numPr>
        <w:rPr>
          <w:szCs w:val="28"/>
        </w:rPr>
      </w:pPr>
      <w:r w:rsidRPr="009F7AE6">
        <w:rPr>
          <w:szCs w:val="28"/>
        </w:rPr>
        <w:t>ФОРМУВАННЯ МУЗЕЙНИХ ЗІБРАНЬ, ОРГАНІЗАЦІЯ ФОНДІВ.</w:t>
      </w:r>
    </w:p>
    <w:p w:rsidR="0060402F" w:rsidRPr="0060402F" w:rsidRDefault="0060402F" w:rsidP="0060402F">
      <w:pPr>
        <w:pStyle w:val="a3"/>
        <w:ind w:left="1272" w:firstLine="0"/>
        <w:jc w:val="left"/>
        <w:rPr>
          <w:szCs w:val="28"/>
        </w:rPr>
      </w:pPr>
    </w:p>
    <w:p w:rsidR="009F7AE6" w:rsidRDefault="009F7AE6" w:rsidP="0060402F">
      <w:pPr>
        <w:pStyle w:val="210"/>
        <w:numPr>
          <w:ilvl w:val="1"/>
          <w:numId w:val="1"/>
        </w:numPr>
        <w:rPr>
          <w:szCs w:val="28"/>
        </w:rPr>
      </w:pPr>
      <w:r w:rsidRPr="009F7AE6">
        <w:rPr>
          <w:szCs w:val="28"/>
        </w:rPr>
        <w:t>Фонди Музею історії Університету відображають минуле і сучасний стан розвитку Львівського національного університету імені Івана Франка як освітнього, наукового і культурного закладу.</w:t>
      </w:r>
    </w:p>
    <w:p w:rsidR="000706B1" w:rsidRPr="009F7AE6" w:rsidRDefault="000706B1" w:rsidP="0060402F">
      <w:pPr>
        <w:pStyle w:val="210"/>
        <w:ind w:left="1287" w:firstLine="0"/>
        <w:rPr>
          <w:szCs w:val="28"/>
        </w:rPr>
      </w:pP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3.2.</w:t>
      </w:r>
      <w:r w:rsidRPr="009F7AE6">
        <w:rPr>
          <w:rFonts w:ascii="Times New Roman" w:hAnsi="Times New Roman" w:cs="Times New Roman"/>
          <w:sz w:val="28"/>
          <w:szCs w:val="28"/>
        </w:rPr>
        <w:tab/>
        <w:t>Фонди Музею історії Університету складаються із Основного фонду музейних предметів і Фонду науково-допоміжних матеріалів.</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3.3.</w:t>
      </w:r>
      <w:r w:rsidRPr="009F7AE6">
        <w:rPr>
          <w:rFonts w:ascii="Times New Roman" w:hAnsi="Times New Roman" w:cs="Times New Roman"/>
          <w:sz w:val="28"/>
          <w:szCs w:val="28"/>
        </w:rPr>
        <w:tab/>
        <w:t xml:space="preserve">Музей історії Університету формує свій Основний фонд із предметів, які мають музейне значення, надходять від фізичних і юридичних осіб, включаються у музейну колекцію. </w:t>
      </w:r>
    </w:p>
    <w:p w:rsidR="009F7AE6" w:rsidRDefault="009F7AE6" w:rsidP="0060402F">
      <w:pPr>
        <w:pStyle w:val="210"/>
        <w:rPr>
          <w:szCs w:val="28"/>
        </w:rPr>
      </w:pPr>
      <w:r w:rsidRPr="009F7AE6">
        <w:rPr>
          <w:szCs w:val="28"/>
        </w:rPr>
        <w:t>3.4.</w:t>
      </w:r>
      <w:r w:rsidRPr="009F7AE6">
        <w:rPr>
          <w:szCs w:val="28"/>
        </w:rPr>
        <w:tab/>
        <w:t>Основні фонди Музею історії Університету є державною власністю та складовою частиною Музейного фонду України. Вони підлягають постійному зберіганню.</w:t>
      </w:r>
    </w:p>
    <w:p w:rsidR="000706B1" w:rsidRPr="009F7AE6" w:rsidRDefault="000706B1" w:rsidP="0060402F">
      <w:pPr>
        <w:pStyle w:val="210"/>
        <w:rPr>
          <w:szCs w:val="28"/>
        </w:rPr>
      </w:pP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3.5.</w:t>
      </w:r>
      <w:r w:rsidRPr="009F7AE6">
        <w:rPr>
          <w:rFonts w:ascii="Times New Roman" w:hAnsi="Times New Roman" w:cs="Times New Roman"/>
          <w:sz w:val="28"/>
          <w:szCs w:val="28"/>
        </w:rPr>
        <w:tab/>
        <w:t>Науково-допоміжні матеріали, що містять супровідну інформацію і не становлять цінності як предмети музейного значення (діарами, макети, схеми тощо), складають Фонд науково-допоміжних матеріалів, які підлягають тимчасовому зберіганню.</w:t>
      </w: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3.6.</w:t>
      </w:r>
      <w:r w:rsidRPr="009F7AE6">
        <w:rPr>
          <w:rFonts w:ascii="Times New Roman" w:hAnsi="Times New Roman" w:cs="Times New Roman"/>
          <w:sz w:val="28"/>
          <w:szCs w:val="28"/>
        </w:rPr>
        <w:tab/>
        <w:t>Фонди Музею історії Університету є основою побудови його музейної експозиції з урахуванням найновіших вимог.</w:t>
      </w:r>
    </w:p>
    <w:p w:rsidR="009F7AE6" w:rsidRDefault="009F7AE6" w:rsidP="0060402F">
      <w:pPr>
        <w:pStyle w:val="210"/>
        <w:rPr>
          <w:szCs w:val="28"/>
        </w:rPr>
      </w:pPr>
      <w:r w:rsidRPr="009F7AE6">
        <w:rPr>
          <w:szCs w:val="28"/>
        </w:rPr>
        <w:t>З.7.</w:t>
      </w:r>
      <w:r w:rsidRPr="009F7AE6">
        <w:rPr>
          <w:szCs w:val="28"/>
        </w:rPr>
        <w:tab/>
        <w:t xml:space="preserve">Фонди Музею історії Університету використовуються вченими для підготовки наукових праць, а також студентами для написання курсових і </w:t>
      </w:r>
      <w:r w:rsidRPr="009F7AE6">
        <w:rPr>
          <w:szCs w:val="28"/>
        </w:rPr>
        <w:lastRenderedPageBreak/>
        <w:t>дипломних робіт.</w:t>
      </w:r>
    </w:p>
    <w:p w:rsidR="000706B1" w:rsidRPr="009F7AE6" w:rsidRDefault="000706B1" w:rsidP="0060402F">
      <w:pPr>
        <w:pStyle w:val="210"/>
        <w:rPr>
          <w:szCs w:val="28"/>
        </w:rPr>
      </w:pPr>
    </w:p>
    <w:p w:rsidR="009F7AE6" w:rsidRPr="009F7AE6" w:rsidRDefault="009F7AE6" w:rsidP="0060402F">
      <w:pPr>
        <w:widowControl w:val="0"/>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color w:val="000000"/>
          <w:sz w:val="28"/>
          <w:szCs w:val="28"/>
        </w:rPr>
        <w:t>3.8.</w:t>
      </w:r>
      <w:r w:rsidRPr="009F7AE6">
        <w:rPr>
          <w:rFonts w:ascii="Times New Roman" w:hAnsi="Times New Roman" w:cs="Times New Roman"/>
          <w:color w:val="000000"/>
          <w:sz w:val="28"/>
          <w:szCs w:val="28"/>
        </w:rPr>
        <w:tab/>
        <w:t xml:space="preserve">Охорона фондів </w:t>
      </w:r>
      <w:r w:rsidRPr="009F7AE6">
        <w:rPr>
          <w:rFonts w:ascii="Times New Roman" w:hAnsi="Times New Roman" w:cs="Times New Roman"/>
          <w:sz w:val="28"/>
          <w:szCs w:val="28"/>
        </w:rPr>
        <w:t>Музею історії Університету забезпечується обліком музейних предметів в обліковій документації.</w:t>
      </w:r>
    </w:p>
    <w:p w:rsidR="009F7AE6" w:rsidRPr="009F7AE6" w:rsidRDefault="009F7AE6" w:rsidP="0060402F">
      <w:pPr>
        <w:pStyle w:val="210"/>
        <w:rPr>
          <w:szCs w:val="28"/>
        </w:rPr>
      </w:pPr>
      <w:r w:rsidRPr="009F7AE6">
        <w:rPr>
          <w:szCs w:val="28"/>
        </w:rPr>
        <w:t>3.9.</w:t>
      </w:r>
      <w:r w:rsidRPr="009F7AE6">
        <w:rPr>
          <w:szCs w:val="28"/>
        </w:rPr>
        <w:tab/>
        <w:t>Облік музейних предметів передбачає наступні етапи:</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а) первинний облік експонатів, який полягає у складанні акту прийому та їх реєстрації в Книзі надходжень;</w:t>
      </w:r>
    </w:p>
    <w:p w:rsidR="009F7AE6" w:rsidRPr="009F7AE6" w:rsidRDefault="009F7AE6" w:rsidP="0060402F">
      <w:pPr>
        <w:pStyle w:val="31"/>
        <w:ind w:firstLine="0"/>
        <w:rPr>
          <w:szCs w:val="28"/>
        </w:rPr>
      </w:pPr>
      <w:r w:rsidRPr="009F7AE6">
        <w:rPr>
          <w:szCs w:val="28"/>
        </w:rPr>
        <w:t>б) наукова інвентаризація, яка полягає у складанні наукового інвентарного опису кожного музейного предмета Основного фонду і занесення його в Інвентарну книгу фондової групи;</w:t>
      </w:r>
    </w:p>
    <w:p w:rsidR="009F7AE6" w:rsidRDefault="009F7AE6" w:rsidP="0060402F">
      <w:pPr>
        <w:pStyle w:val="31"/>
        <w:ind w:firstLine="0"/>
        <w:rPr>
          <w:szCs w:val="28"/>
        </w:rPr>
      </w:pPr>
      <w:r w:rsidRPr="009F7AE6">
        <w:rPr>
          <w:szCs w:val="28"/>
        </w:rPr>
        <w:t>в) складання допоміжних форм обліку (картотек, описів тощо) з метою швидкого знаходження музейного предмета і отримання необхідних довідкових даних для роботи над архівною колекцією.</w:t>
      </w:r>
    </w:p>
    <w:p w:rsidR="000706B1" w:rsidRPr="009F7AE6" w:rsidRDefault="000706B1" w:rsidP="0060402F">
      <w:pPr>
        <w:pStyle w:val="31"/>
        <w:ind w:firstLine="0"/>
        <w:rPr>
          <w:szCs w:val="28"/>
        </w:rPr>
      </w:pPr>
    </w:p>
    <w:p w:rsidR="009F7AE6" w:rsidRPr="009F7AE6" w:rsidRDefault="008C0B58"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3.10. </w:t>
      </w:r>
      <w:r>
        <w:rPr>
          <w:rFonts w:ascii="Times New Roman" w:hAnsi="Times New Roman" w:cs="Times New Roman"/>
          <w:sz w:val="28"/>
          <w:szCs w:val="28"/>
        </w:rPr>
        <w:tab/>
      </w:r>
      <w:r w:rsidR="009F7AE6" w:rsidRPr="009F7AE6">
        <w:rPr>
          <w:rFonts w:ascii="Times New Roman" w:hAnsi="Times New Roman" w:cs="Times New Roman"/>
          <w:sz w:val="28"/>
          <w:szCs w:val="28"/>
        </w:rPr>
        <w:t>Акти прийому, акти видачі, Книга надходжень, книги наукової інвентаризації, як документи юридичної сили, підлягають реєстрації і постійному зберіганню. Постійному зберіганню підлягають і картки наукового опису музейних предметів.</w:t>
      </w:r>
    </w:p>
    <w:p w:rsidR="009F7AE6" w:rsidRPr="009F7AE6" w:rsidRDefault="008C0B58"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3.11. </w:t>
      </w:r>
      <w:r>
        <w:rPr>
          <w:rFonts w:ascii="Times New Roman" w:hAnsi="Times New Roman" w:cs="Times New Roman"/>
          <w:sz w:val="28"/>
          <w:szCs w:val="28"/>
        </w:rPr>
        <w:tab/>
      </w:r>
      <w:r w:rsidR="009F7AE6" w:rsidRPr="009F7AE6">
        <w:rPr>
          <w:rFonts w:ascii="Times New Roman" w:hAnsi="Times New Roman" w:cs="Times New Roman"/>
          <w:sz w:val="28"/>
          <w:szCs w:val="28"/>
        </w:rPr>
        <w:t>Книга надходжень та Інвентарні книги фондових груп до заповнення оформляються відповідним чином: аркуші нумеруються, прошнуровуються, книги підписуються й опечатуються в Ректораті університету.</w:t>
      </w:r>
    </w:p>
    <w:p w:rsidR="009F7AE6" w:rsidRPr="009F7AE6" w:rsidRDefault="008C0B58"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3.12. </w:t>
      </w:r>
      <w:r>
        <w:rPr>
          <w:rFonts w:ascii="Times New Roman" w:hAnsi="Times New Roman" w:cs="Times New Roman"/>
          <w:sz w:val="28"/>
          <w:szCs w:val="28"/>
        </w:rPr>
        <w:tab/>
      </w:r>
      <w:r w:rsidR="009F7AE6" w:rsidRPr="009F7AE6">
        <w:rPr>
          <w:rFonts w:ascii="Times New Roman" w:hAnsi="Times New Roman" w:cs="Times New Roman"/>
          <w:sz w:val="28"/>
          <w:szCs w:val="28"/>
        </w:rPr>
        <w:t>Завідувач Музею історії Університету або спеціально призначена особа записує (не довше, ніж протягом місяця) надходження в порядку їх надходження в Книгу надходжень музейних предметів або в Книгу обліку науково-допоміжних матеріалів.</w:t>
      </w:r>
    </w:p>
    <w:p w:rsidR="009F7AE6" w:rsidRPr="009F7AE6" w:rsidRDefault="008C0B58"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3.1З. </w:t>
      </w:r>
      <w:r>
        <w:rPr>
          <w:rFonts w:ascii="Times New Roman" w:hAnsi="Times New Roman" w:cs="Times New Roman"/>
          <w:sz w:val="28"/>
          <w:szCs w:val="28"/>
        </w:rPr>
        <w:tab/>
      </w:r>
      <w:r w:rsidR="009F7AE6" w:rsidRPr="009F7AE6">
        <w:rPr>
          <w:rFonts w:ascii="Times New Roman" w:hAnsi="Times New Roman" w:cs="Times New Roman"/>
          <w:sz w:val="28"/>
          <w:szCs w:val="28"/>
        </w:rPr>
        <w:t>Кожному музейному предмету, занесеному в Книгу надходжень, присвоюється порядковий номер, який проставляється на предметі, що підлягає постійному зберіганню, разом із шифром Музею історії Університету (наприклад, МІ ЛНУ КН - 258).</w:t>
      </w:r>
    </w:p>
    <w:p w:rsidR="009F7AE6" w:rsidRPr="009F7AE6" w:rsidRDefault="006A5742" w:rsidP="0060402F">
      <w:pPr>
        <w:pStyle w:val="21"/>
        <w:ind w:left="1276" w:hanging="709"/>
        <w:rPr>
          <w:szCs w:val="28"/>
        </w:rPr>
      </w:pPr>
      <w:r>
        <w:rPr>
          <w:szCs w:val="28"/>
        </w:rPr>
        <w:t xml:space="preserve">3.14. </w:t>
      </w:r>
      <w:r w:rsidR="009F7AE6" w:rsidRPr="009F7AE6">
        <w:rPr>
          <w:szCs w:val="28"/>
        </w:rPr>
        <w:t>У разі надходження великої кількості матеріалів у Книзі надходжень допускається груповий запис. Кількість предметів відображається порядковими номерами (наприклад КН 29-141, або єдиним номером із дрібними номерами КН 29/1-112).</w:t>
      </w:r>
    </w:p>
    <w:p w:rsidR="009F7AE6" w:rsidRPr="009F7AE6" w:rsidRDefault="006A5742"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3.15. </w:t>
      </w:r>
      <w:r w:rsidR="009F7AE6" w:rsidRPr="009F7AE6">
        <w:rPr>
          <w:rFonts w:ascii="Times New Roman" w:hAnsi="Times New Roman" w:cs="Times New Roman"/>
          <w:sz w:val="28"/>
          <w:szCs w:val="28"/>
        </w:rPr>
        <w:t>Опис експонатів у Книзі надходжень закріплює результати їх визначення, одержані на момент первинного обліку (назва і короткий опис), а також фіксуються дані про час, джерело, спосіб надходження, стан збереженості, документи, що їх супроводжують.</w:t>
      </w:r>
    </w:p>
    <w:p w:rsidR="009F7AE6" w:rsidRPr="009F7AE6" w:rsidRDefault="006A5742"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3.16. </w:t>
      </w:r>
      <w:r w:rsidR="009F7AE6" w:rsidRPr="009F7AE6">
        <w:rPr>
          <w:rFonts w:ascii="Times New Roman" w:hAnsi="Times New Roman" w:cs="Times New Roman"/>
          <w:sz w:val="28"/>
          <w:szCs w:val="28"/>
        </w:rPr>
        <w:t xml:space="preserve">Запис в інвентарну книгу проводиться тільки попредметно. Дається точна назва предмета, його детальний опис, фіксуються якомога повніші дані про час і місце побутування, матеріал, техніку виготовлення, стан </w:t>
      </w:r>
      <w:r w:rsidR="009F7AE6" w:rsidRPr="009F7AE6">
        <w:rPr>
          <w:rFonts w:ascii="Times New Roman" w:hAnsi="Times New Roman" w:cs="Times New Roman"/>
          <w:sz w:val="28"/>
          <w:szCs w:val="28"/>
        </w:rPr>
        <w:lastRenderedPageBreak/>
        <w:t>збереженості. У відповідних графах проставляються облікові позначення предмета, номери фотонегативів (якщо предмет сфотографований), дані про джерело і спосіб надходження. Проставляється відповідна дата запису, прізвище, ініціали особи, яка провела інвентаризацію предмета.</w:t>
      </w:r>
    </w:p>
    <w:p w:rsidR="009F7AE6" w:rsidRPr="009F7AE6" w:rsidRDefault="006A5742" w:rsidP="008C0B58">
      <w:pPr>
        <w:pStyle w:val="210"/>
        <w:outlineLvl w:val="0"/>
        <w:rPr>
          <w:szCs w:val="28"/>
        </w:rPr>
      </w:pPr>
      <w:r>
        <w:rPr>
          <w:szCs w:val="28"/>
        </w:rPr>
        <w:t xml:space="preserve">3.17. </w:t>
      </w:r>
      <w:r w:rsidR="009F7AE6" w:rsidRPr="009F7AE6">
        <w:rPr>
          <w:szCs w:val="28"/>
        </w:rPr>
        <w:t>Оскільки в інвентарних книгах робляться тільки попредметні записи, кожен музейний предмет має свій номер, який проставляється на ньому і в Книзі надходжень. Таким чином, музейний предмет одержує два номери і його повне облікове позначення набуває вигляду дробу, у чисельнику якого містяться дані Книги надходжень, у знаменнику - Інвентарної книги відповідної фондової групи,</w:t>
      </w:r>
    </w:p>
    <w:p w:rsidR="009F7AE6" w:rsidRPr="009F7AE6" w:rsidRDefault="006A5742"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3.18. </w:t>
      </w:r>
      <w:r w:rsidR="009F7AE6" w:rsidRPr="009F7AE6">
        <w:rPr>
          <w:rFonts w:ascii="Times New Roman" w:hAnsi="Times New Roman" w:cs="Times New Roman"/>
          <w:sz w:val="28"/>
          <w:szCs w:val="28"/>
        </w:rPr>
        <w:t>Запис в Інвентарну книгу робиться на основі складеної за встановленою формою і попередньо завіреної картки наукового опису музейного предмета. Заповнюється вона в процесі визначення музейного предмета і фіксує результат вивчення усіх основних його ознак. Картка включає облікові позначення предмета, дані про час надходження і документ, на основі якого надійшов предмет. Описується збереженість предмета, вносяться дані про реставрацію та консервацію, використання (наприклад, в експозиції) публікації. Резервується місце для фотографії, поміток про місце знаходження і видачі. Проставляється дата складення опису.</w:t>
      </w:r>
    </w:p>
    <w:p w:rsidR="009F7AE6" w:rsidRDefault="006A5742" w:rsidP="0060402F">
      <w:pPr>
        <w:pStyle w:val="210"/>
        <w:rPr>
          <w:szCs w:val="28"/>
        </w:rPr>
      </w:pPr>
      <w:r>
        <w:rPr>
          <w:szCs w:val="28"/>
        </w:rPr>
        <w:t xml:space="preserve">3.19. </w:t>
      </w:r>
      <w:r w:rsidR="009F7AE6" w:rsidRPr="009F7AE6">
        <w:rPr>
          <w:szCs w:val="28"/>
        </w:rPr>
        <w:t>Кожна Інвентарна книга має своє позначення, що дозволяє визначити приналежність книги і заінвентаризованого у ній предмета до конкретної фондової групи.</w:t>
      </w:r>
    </w:p>
    <w:p w:rsidR="000706B1" w:rsidRPr="009F7AE6" w:rsidRDefault="000706B1" w:rsidP="0060402F">
      <w:pPr>
        <w:pStyle w:val="210"/>
        <w:rPr>
          <w:szCs w:val="28"/>
        </w:rPr>
      </w:pPr>
    </w:p>
    <w:p w:rsidR="009F7AE6" w:rsidRPr="009F7AE6" w:rsidRDefault="006A5742" w:rsidP="0060402F">
      <w:pPr>
        <w:pStyle w:val="210"/>
        <w:rPr>
          <w:szCs w:val="28"/>
        </w:rPr>
      </w:pPr>
      <w:r>
        <w:rPr>
          <w:szCs w:val="28"/>
        </w:rPr>
        <w:t xml:space="preserve">3.20. </w:t>
      </w:r>
      <w:r w:rsidR="009F7AE6" w:rsidRPr="009F7AE6">
        <w:rPr>
          <w:szCs w:val="28"/>
        </w:rPr>
        <w:t>Суттєві виправлення записів у Книзі надходжень та Інвентарних книгах робляться тільки на основі спеціальних актів, підписаних проректором з наукової роботи і завіряються університетською печаткою. Незначні виправлення завіряються спеціальним записом у примітках вказаних книг за підписом завідувача музею.</w:t>
      </w:r>
    </w:p>
    <w:p w:rsidR="009F7AE6" w:rsidRPr="009F7AE6" w:rsidRDefault="009F7AE6" w:rsidP="0060402F">
      <w:pPr>
        <w:pStyle w:val="210"/>
        <w:jc w:val="center"/>
        <w:rPr>
          <w:b/>
          <w:szCs w:val="28"/>
        </w:rPr>
      </w:pPr>
    </w:p>
    <w:p w:rsidR="009F7AE6" w:rsidRDefault="009F7AE6" w:rsidP="0060402F">
      <w:pPr>
        <w:pStyle w:val="210"/>
        <w:numPr>
          <w:ilvl w:val="0"/>
          <w:numId w:val="1"/>
        </w:numPr>
        <w:jc w:val="center"/>
        <w:rPr>
          <w:b/>
          <w:szCs w:val="28"/>
        </w:rPr>
      </w:pPr>
      <w:r w:rsidRPr="009F7AE6">
        <w:rPr>
          <w:b/>
          <w:szCs w:val="28"/>
        </w:rPr>
        <w:t>МАТЕРІАЛЬНА БАЗА</w:t>
      </w:r>
    </w:p>
    <w:p w:rsidR="0060402F" w:rsidRPr="009F7AE6" w:rsidRDefault="0060402F" w:rsidP="0060402F">
      <w:pPr>
        <w:pStyle w:val="210"/>
        <w:ind w:left="1272" w:firstLine="0"/>
        <w:rPr>
          <w:b/>
          <w:szCs w:val="28"/>
        </w:rPr>
      </w:pPr>
    </w:p>
    <w:p w:rsidR="009F7AE6" w:rsidRPr="009F7AE6" w:rsidRDefault="006A5742"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4.1. </w:t>
      </w:r>
      <w:r w:rsidR="009F7AE6" w:rsidRPr="009F7AE6">
        <w:rPr>
          <w:rFonts w:ascii="Times New Roman" w:hAnsi="Times New Roman" w:cs="Times New Roman"/>
          <w:sz w:val="28"/>
          <w:szCs w:val="28"/>
        </w:rPr>
        <w:t>Матеріальну базу Музею історії Університету складають:</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а) експозиційні зали та фондосховище, оснащені засобами охоронної та пожежної сигналізації;</w:t>
      </w:r>
    </w:p>
    <w:p w:rsidR="009F7AE6" w:rsidRPr="009F7AE6" w:rsidRDefault="009F7AE6" w:rsidP="0060402F">
      <w:pPr>
        <w:pStyle w:val="2"/>
        <w:rPr>
          <w:szCs w:val="28"/>
          <w:lang w:val="uk-UA"/>
        </w:rPr>
      </w:pPr>
      <w:r w:rsidRPr="009F7AE6">
        <w:rPr>
          <w:szCs w:val="28"/>
          <w:lang w:val="uk-UA"/>
        </w:rPr>
        <w:t>б) музейне обладнання (стенди, вітрини, стелажі, шафи, апаратура), що використовується в експозиційній та реставраційній фондовій роботі;</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в) робочий інвентар, необхідний для проведення досліджень.</w:t>
      </w:r>
    </w:p>
    <w:p w:rsidR="009F7AE6" w:rsidRDefault="006A5742"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4.2. </w:t>
      </w:r>
      <w:r w:rsidR="009F7AE6" w:rsidRPr="009F7AE6">
        <w:rPr>
          <w:rFonts w:ascii="Times New Roman" w:hAnsi="Times New Roman" w:cs="Times New Roman"/>
          <w:sz w:val="28"/>
          <w:szCs w:val="28"/>
        </w:rPr>
        <w:t>Матеріальна шкода, завдана Музею історії Університету фізичними та юридичними особами, відшкодовується згідно з чинним законодавством.</w:t>
      </w:r>
    </w:p>
    <w:p w:rsidR="000706B1" w:rsidRPr="000706B1" w:rsidRDefault="000706B1" w:rsidP="0060402F">
      <w:pPr>
        <w:widowControl w:val="0"/>
        <w:spacing w:line="240" w:lineRule="auto"/>
        <w:ind w:left="1276" w:hanging="709"/>
        <w:jc w:val="both"/>
        <w:rPr>
          <w:rFonts w:ascii="Times New Roman" w:hAnsi="Times New Roman" w:cs="Times New Roman"/>
          <w:sz w:val="28"/>
          <w:szCs w:val="28"/>
        </w:rPr>
      </w:pPr>
    </w:p>
    <w:p w:rsidR="009F7AE6" w:rsidRPr="009F7AE6" w:rsidRDefault="009F7AE6" w:rsidP="0060402F">
      <w:pPr>
        <w:widowControl w:val="0"/>
        <w:spacing w:line="240" w:lineRule="auto"/>
        <w:ind w:left="1276" w:hanging="709"/>
        <w:jc w:val="center"/>
        <w:rPr>
          <w:rFonts w:ascii="Times New Roman" w:hAnsi="Times New Roman" w:cs="Times New Roman"/>
          <w:b/>
          <w:sz w:val="28"/>
          <w:szCs w:val="28"/>
        </w:rPr>
      </w:pPr>
      <w:r w:rsidRPr="009F7AE6">
        <w:rPr>
          <w:rFonts w:ascii="Times New Roman" w:hAnsi="Times New Roman" w:cs="Times New Roman"/>
          <w:b/>
          <w:sz w:val="28"/>
          <w:szCs w:val="28"/>
        </w:rPr>
        <w:lastRenderedPageBreak/>
        <w:t xml:space="preserve">5. </w:t>
      </w:r>
      <w:r w:rsidRPr="009F7AE6">
        <w:rPr>
          <w:rFonts w:ascii="Times New Roman" w:hAnsi="Times New Roman" w:cs="Times New Roman"/>
          <w:b/>
          <w:sz w:val="28"/>
          <w:szCs w:val="28"/>
        </w:rPr>
        <w:tab/>
        <w:t>СТРУКТУРА МУЗЕЮ</w:t>
      </w:r>
    </w:p>
    <w:p w:rsidR="009F7AE6" w:rsidRPr="009F7AE6" w:rsidRDefault="009F7AE6" w:rsidP="00866ECB">
      <w:pPr>
        <w:pStyle w:val="210"/>
        <w:tabs>
          <w:tab w:val="left" w:pos="851"/>
        </w:tabs>
        <w:rPr>
          <w:szCs w:val="28"/>
        </w:rPr>
      </w:pPr>
      <w:r w:rsidRPr="009F7AE6">
        <w:rPr>
          <w:szCs w:val="28"/>
        </w:rPr>
        <w:t>5.1. Штат Музею історії Університету комплектується посадами:</w:t>
      </w:r>
      <w:r w:rsidR="00866ECB">
        <w:rPr>
          <w:szCs w:val="28"/>
        </w:rPr>
        <w:t xml:space="preserve"> </w:t>
      </w:r>
      <w:r w:rsidRPr="009F7AE6">
        <w:rPr>
          <w:szCs w:val="28"/>
        </w:rPr>
        <w:t xml:space="preserve">завідувач музею, зберігач музейних фондів. </w:t>
      </w:r>
    </w:p>
    <w:p w:rsidR="009F7AE6" w:rsidRPr="009F7AE6" w:rsidRDefault="009F7AE6" w:rsidP="0060402F">
      <w:pPr>
        <w:pStyle w:val="210"/>
        <w:tabs>
          <w:tab w:val="left" w:pos="851"/>
        </w:tabs>
        <w:rPr>
          <w:szCs w:val="28"/>
        </w:rPr>
      </w:pPr>
    </w:p>
    <w:p w:rsidR="009F7AE6" w:rsidRPr="009F7AE6" w:rsidRDefault="00FA56AC" w:rsidP="0060402F">
      <w:pPr>
        <w:widowControl w:val="0"/>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5.2. </w:t>
      </w:r>
      <w:r w:rsidR="009F7AE6" w:rsidRPr="009F7AE6">
        <w:rPr>
          <w:rFonts w:ascii="Times New Roman" w:hAnsi="Times New Roman" w:cs="Times New Roman"/>
          <w:sz w:val="28"/>
          <w:szCs w:val="28"/>
        </w:rPr>
        <w:t>Завідувач Музею історії Університету:</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 здійснює загальне керівництво діяльністю Музею історії Університету;</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 у межах своєї компетенції видає розпорядження, організовує і контролює їх виконання;</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 організовує і контролює облік музейних предметів, відповідає за правильність його ведення;</w:t>
      </w:r>
    </w:p>
    <w:p w:rsidR="009F7AE6" w:rsidRPr="009F7AE6" w:rsidRDefault="009F7AE6" w:rsidP="0060402F">
      <w:pPr>
        <w:pStyle w:val="2"/>
        <w:rPr>
          <w:szCs w:val="28"/>
        </w:rPr>
      </w:pPr>
      <w:r w:rsidRPr="009F7AE6">
        <w:rPr>
          <w:szCs w:val="28"/>
          <w:lang w:val="uk-UA"/>
        </w:rPr>
        <w:t>- координує графік проведення практичних занять зі студентами в приміщенні Музею історії Університету;</w:t>
      </w:r>
    </w:p>
    <w:p w:rsidR="009F7AE6" w:rsidRPr="009F7AE6" w:rsidRDefault="009F7AE6" w:rsidP="0060402F">
      <w:pPr>
        <w:widowControl w:val="0"/>
        <w:spacing w:line="240" w:lineRule="auto"/>
        <w:ind w:left="1276"/>
        <w:jc w:val="both"/>
        <w:rPr>
          <w:rFonts w:ascii="Times New Roman" w:hAnsi="Times New Roman" w:cs="Times New Roman"/>
          <w:sz w:val="28"/>
          <w:szCs w:val="28"/>
        </w:rPr>
      </w:pPr>
      <w:r w:rsidRPr="009F7AE6">
        <w:rPr>
          <w:rFonts w:ascii="Times New Roman" w:hAnsi="Times New Roman" w:cs="Times New Roman"/>
          <w:sz w:val="28"/>
          <w:szCs w:val="28"/>
        </w:rPr>
        <w:t>- стежить за належними умовами зберігання експонатів і музейного майна;</w:t>
      </w:r>
    </w:p>
    <w:p w:rsidR="009F7AE6" w:rsidRDefault="009F7AE6" w:rsidP="0060402F">
      <w:pPr>
        <w:widowControl w:val="0"/>
        <w:numPr>
          <w:ilvl w:val="0"/>
          <w:numId w:val="2"/>
        </w:numPr>
        <w:spacing w:after="0" w:line="240" w:lineRule="auto"/>
        <w:jc w:val="both"/>
        <w:rPr>
          <w:rFonts w:ascii="Times New Roman" w:hAnsi="Times New Roman" w:cs="Times New Roman"/>
          <w:sz w:val="28"/>
          <w:szCs w:val="28"/>
        </w:rPr>
      </w:pPr>
      <w:r w:rsidRPr="009F7AE6">
        <w:rPr>
          <w:rFonts w:ascii="Times New Roman" w:hAnsi="Times New Roman" w:cs="Times New Roman"/>
          <w:sz w:val="28"/>
          <w:szCs w:val="28"/>
        </w:rPr>
        <w:t>за вимогою звітує перед керівництвом Університету і контролюючими органами про роботу Музею історії Університету.</w:t>
      </w:r>
    </w:p>
    <w:p w:rsidR="000706B1" w:rsidRPr="009F7AE6" w:rsidRDefault="000706B1" w:rsidP="0060402F">
      <w:pPr>
        <w:widowControl w:val="0"/>
        <w:spacing w:after="0" w:line="240" w:lineRule="auto"/>
        <w:ind w:left="1636"/>
        <w:jc w:val="both"/>
        <w:rPr>
          <w:rFonts w:ascii="Times New Roman" w:hAnsi="Times New Roman" w:cs="Times New Roman"/>
          <w:sz w:val="28"/>
          <w:szCs w:val="28"/>
        </w:rPr>
      </w:pPr>
    </w:p>
    <w:p w:rsidR="009F7AE6" w:rsidRDefault="00FA56AC" w:rsidP="0060402F">
      <w:pPr>
        <w:pStyle w:val="210"/>
        <w:tabs>
          <w:tab w:val="left" w:pos="2027"/>
        </w:tabs>
        <w:rPr>
          <w:szCs w:val="28"/>
        </w:rPr>
      </w:pPr>
      <w:r>
        <w:rPr>
          <w:szCs w:val="28"/>
        </w:rPr>
        <w:t xml:space="preserve">5.3. </w:t>
      </w:r>
      <w:r w:rsidR="009F7AE6" w:rsidRPr="009F7AE6">
        <w:rPr>
          <w:szCs w:val="28"/>
        </w:rPr>
        <w:t>Зберігач музейних фондів Музею історії Університету:</w:t>
      </w:r>
    </w:p>
    <w:p w:rsidR="00413E24" w:rsidRDefault="00413E24" w:rsidP="0060402F">
      <w:pPr>
        <w:pStyle w:val="210"/>
        <w:tabs>
          <w:tab w:val="left" w:pos="2027"/>
        </w:tabs>
        <w:rPr>
          <w:szCs w:val="28"/>
        </w:rPr>
      </w:pPr>
    </w:p>
    <w:p w:rsidR="00413E24" w:rsidRDefault="00413E24" w:rsidP="0060402F">
      <w:pPr>
        <w:pStyle w:val="210"/>
        <w:tabs>
          <w:tab w:val="left" w:pos="2027"/>
        </w:tabs>
        <w:rPr>
          <w:szCs w:val="28"/>
        </w:rPr>
      </w:pPr>
      <w:r>
        <w:rPr>
          <w:szCs w:val="28"/>
        </w:rPr>
        <w:tab/>
        <w:t>- здійснює наукову інвентаризацію музейних предметів</w:t>
      </w:r>
      <w:r w:rsidR="00395273">
        <w:rPr>
          <w:szCs w:val="28"/>
        </w:rPr>
        <w:t>;</w:t>
      </w:r>
    </w:p>
    <w:p w:rsidR="00395273" w:rsidRPr="009F7AE6" w:rsidRDefault="00395273" w:rsidP="0060402F">
      <w:pPr>
        <w:pStyle w:val="210"/>
        <w:tabs>
          <w:tab w:val="left" w:pos="2027"/>
        </w:tabs>
        <w:rPr>
          <w:szCs w:val="28"/>
        </w:rPr>
      </w:pPr>
    </w:p>
    <w:p w:rsidR="009F7AE6" w:rsidRPr="009F7AE6" w:rsidRDefault="009F7AE6" w:rsidP="0060402F">
      <w:pPr>
        <w:widowControl w:val="0"/>
        <w:tabs>
          <w:tab w:val="left" w:pos="2027"/>
        </w:tabs>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ab/>
        <w:t>- несе матеріальну відповідальність за музейні предмети, що зберігаються у фондосховищі та на експозиції;</w:t>
      </w:r>
    </w:p>
    <w:p w:rsidR="009F7AE6" w:rsidRPr="009F7AE6" w:rsidRDefault="009F7AE6" w:rsidP="0060402F">
      <w:pPr>
        <w:widowControl w:val="0"/>
        <w:tabs>
          <w:tab w:val="left" w:pos="2027"/>
        </w:tabs>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ab/>
        <w:t>- відповідає за збереженість експонатів музею в робочий час;</w:t>
      </w:r>
    </w:p>
    <w:p w:rsidR="009F7AE6" w:rsidRPr="009F7AE6" w:rsidRDefault="009F7AE6" w:rsidP="0060402F">
      <w:pPr>
        <w:widowControl w:val="0"/>
        <w:tabs>
          <w:tab w:val="left" w:pos="2027"/>
        </w:tabs>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ab/>
        <w:t xml:space="preserve">- </w:t>
      </w:r>
      <w:r w:rsidR="0060402F">
        <w:rPr>
          <w:rFonts w:ascii="Times New Roman" w:hAnsi="Times New Roman" w:cs="Times New Roman"/>
          <w:sz w:val="28"/>
          <w:szCs w:val="28"/>
        </w:rPr>
        <w:t xml:space="preserve"> </w:t>
      </w:r>
      <w:r w:rsidRPr="009F7AE6">
        <w:rPr>
          <w:rFonts w:ascii="Times New Roman" w:hAnsi="Times New Roman" w:cs="Times New Roman"/>
          <w:sz w:val="28"/>
          <w:szCs w:val="28"/>
        </w:rPr>
        <w:t>разом із завідувачем музею проводить відкриття експозиційних залів, їх закриття та опломбування в кінці робочого дня і здачу ключів від них працівникам охорони Університету;</w:t>
      </w:r>
    </w:p>
    <w:p w:rsidR="009F7AE6" w:rsidRDefault="009F7AE6" w:rsidP="0060402F">
      <w:pPr>
        <w:widowControl w:val="0"/>
        <w:numPr>
          <w:ilvl w:val="0"/>
          <w:numId w:val="2"/>
        </w:numPr>
        <w:tabs>
          <w:tab w:val="left" w:pos="2027"/>
        </w:tabs>
        <w:spacing w:after="0" w:line="240" w:lineRule="auto"/>
        <w:jc w:val="both"/>
        <w:rPr>
          <w:rFonts w:ascii="Times New Roman" w:hAnsi="Times New Roman" w:cs="Times New Roman"/>
          <w:sz w:val="28"/>
          <w:szCs w:val="28"/>
        </w:rPr>
      </w:pPr>
      <w:r w:rsidRPr="009F7AE6">
        <w:rPr>
          <w:rFonts w:ascii="Times New Roman" w:hAnsi="Times New Roman" w:cs="Times New Roman"/>
          <w:sz w:val="28"/>
          <w:szCs w:val="28"/>
        </w:rPr>
        <w:t>залучається до заповнення облікової документації і</w:t>
      </w:r>
      <w:r w:rsidR="00413E24">
        <w:rPr>
          <w:rFonts w:ascii="Times New Roman" w:hAnsi="Times New Roman" w:cs="Times New Roman"/>
          <w:sz w:val="28"/>
          <w:szCs w:val="28"/>
        </w:rPr>
        <w:t xml:space="preserve"> шифрування музейних предметів;</w:t>
      </w:r>
    </w:p>
    <w:p w:rsidR="00413E24" w:rsidRPr="009F7AE6" w:rsidRDefault="00413E24" w:rsidP="0060402F">
      <w:pPr>
        <w:widowControl w:val="0"/>
        <w:tabs>
          <w:tab w:val="left" w:pos="2027"/>
        </w:tabs>
        <w:spacing w:after="0" w:line="240" w:lineRule="auto"/>
        <w:ind w:left="1636"/>
        <w:jc w:val="both"/>
        <w:rPr>
          <w:rFonts w:ascii="Times New Roman" w:hAnsi="Times New Roman" w:cs="Times New Roman"/>
          <w:sz w:val="28"/>
          <w:szCs w:val="28"/>
        </w:rPr>
      </w:pPr>
    </w:p>
    <w:p w:rsidR="009F7AE6" w:rsidRPr="009F7AE6" w:rsidRDefault="009F7AE6" w:rsidP="0060402F">
      <w:pPr>
        <w:widowControl w:val="0"/>
        <w:numPr>
          <w:ilvl w:val="0"/>
          <w:numId w:val="2"/>
        </w:numPr>
        <w:tabs>
          <w:tab w:val="left" w:pos="2027"/>
        </w:tabs>
        <w:spacing w:after="0" w:line="240" w:lineRule="auto"/>
        <w:jc w:val="both"/>
        <w:rPr>
          <w:rFonts w:ascii="Times New Roman" w:hAnsi="Times New Roman" w:cs="Times New Roman"/>
          <w:sz w:val="28"/>
          <w:szCs w:val="28"/>
        </w:rPr>
      </w:pPr>
      <w:r w:rsidRPr="009F7AE6">
        <w:rPr>
          <w:rFonts w:ascii="Times New Roman" w:hAnsi="Times New Roman" w:cs="Times New Roman"/>
          <w:sz w:val="28"/>
          <w:szCs w:val="28"/>
        </w:rPr>
        <w:t>відповідає за організацію та художнє</w:t>
      </w:r>
      <w:r w:rsidR="00413E24">
        <w:rPr>
          <w:rFonts w:ascii="Times New Roman" w:hAnsi="Times New Roman" w:cs="Times New Roman"/>
          <w:sz w:val="28"/>
          <w:szCs w:val="28"/>
        </w:rPr>
        <w:t xml:space="preserve"> оформлення тимчасових виставок.</w:t>
      </w:r>
    </w:p>
    <w:p w:rsidR="009F7AE6" w:rsidRPr="009F7AE6" w:rsidRDefault="009F7AE6" w:rsidP="0060402F">
      <w:pPr>
        <w:widowControl w:val="0"/>
        <w:tabs>
          <w:tab w:val="left" w:pos="2027"/>
        </w:tabs>
        <w:spacing w:line="240" w:lineRule="auto"/>
        <w:ind w:left="1636"/>
        <w:jc w:val="both"/>
        <w:rPr>
          <w:rFonts w:ascii="Times New Roman" w:hAnsi="Times New Roman" w:cs="Times New Roman"/>
          <w:sz w:val="28"/>
          <w:szCs w:val="28"/>
        </w:rPr>
      </w:pPr>
    </w:p>
    <w:p w:rsidR="009F7AE6" w:rsidRPr="009F7AE6" w:rsidRDefault="00FA56AC" w:rsidP="0060402F">
      <w:pPr>
        <w:pStyle w:val="210"/>
        <w:tabs>
          <w:tab w:val="left" w:pos="851"/>
        </w:tabs>
        <w:rPr>
          <w:szCs w:val="28"/>
        </w:rPr>
      </w:pPr>
      <w:r>
        <w:rPr>
          <w:szCs w:val="28"/>
        </w:rPr>
        <w:t xml:space="preserve">5.4. </w:t>
      </w:r>
      <w:r w:rsidR="00853246">
        <w:rPr>
          <w:szCs w:val="28"/>
        </w:rPr>
        <w:t xml:space="preserve">   </w:t>
      </w:r>
      <w:r w:rsidR="009F7AE6" w:rsidRPr="009F7AE6">
        <w:rPr>
          <w:szCs w:val="28"/>
        </w:rPr>
        <w:t xml:space="preserve">Штат Музею історії Університету може змінюватись залежно від потреб. </w:t>
      </w:r>
    </w:p>
    <w:p w:rsidR="009F7AE6" w:rsidRPr="009F7AE6" w:rsidRDefault="009F7AE6" w:rsidP="00853246">
      <w:pPr>
        <w:pStyle w:val="210"/>
        <w:tabs>
          <w:tab w:val="left" w:pos="851"/>
        </w:tabs>
        <w:ind w:firstLine="0"/>
        <w:rPr>
          <w:szCs w:val="28"/>
        </w:rPr>
      </w:pPr>
      <w:r w:rsidRPr="009F7AE6">
        <w:rPr>
          <w:szCs w:val="28"/>
        </w:rPr>
        <w:t xml:space="preserve">У разі потреби скликається Музейна Рада, до складу якої входять представники ректорату і факультетів, музейні працівники . Склад Ради Музею затверджується ректором. </w:t>
      </w:r>
    </w:p>
    <w:p w:rsidR="009F7AE6" w:rsidRPr="009F7AE6" w:rsidRDefault="009F7AE6" w:rsidP="0060402F">
      <w:pPr>
        <w:widowControl w:val="0"/>
        <w:tabs>
          <w:tab w:val="left" w:pos="2027"/>
        </w:tabs>
        <w:spacing w:line="240" w:lineRule="auto"/>
        <w:rPr>
          <w:rFonts w:ascii="Times New Roman" w:hAnsi="Times New Roman" w:cs="Times New Roman"/>
          <w:b/>
          <w:sz w:val="28"/>
          <w:szCs w:val="28"/>
        </w:rPr>
      </w:pPr>
    </w:p>
    <w:p w:rsidR="009F7AE6" w:rsidRPr="0060402F" w:rsidRDefault="009F7AE6" w:rsidP="0060402F">
      <w:pPr>
        <w:widowControl w:val="0"/>
        <w:tabs>
          <w:tab w:val="left" w:pos="2027"/>
        </w:tabs>
        <w:spacing w:line="240" w:lineRule="auto"/>
        <w:ind w:left="1276" w:hanging="709"/>
        <w:jc w:val="center"/>
        <w:rPr>
          <w:rFonts w:ascii="Times New Roman" w:hAnsi="Times New Roman" w:cs="Times New Roman"/>
          <w:b/>
          <w:sz w:val="28"/>
          <w:szCs w:val="28"/>
        </w:rPr>
      </w:pPr>
      <w:r w:rsidRPr="009F7AE6">
        <w:rPr>
          <w:rFonts w:ascii="Times New Roman" w:hAnsi="Times New Roman" w:cs="Times New Roman"/>
          <w:b/>
          <w:sz w:val="28"/>
          <w:szCs w:val="28"/>
        </w:rPr>
        <w:lastRenderedPageBreak/>
        <w:t>6.</w:t>
      </w:r>
      <w:r w:rsidRPr="009F7AE6">
        <w:rPr>
          <w:rFonts w:ascii="Times New Roman" w:hAnsi="Times New Roman" w:cs="Times New Roman"/>
          <w:b/>
          <w:sz w:val="28"/>
          <w:szCs w:val="28"/>
        </w:rPr>
        <w:tab/>
        <w:t>ЛІКВІДАЦІЯ  МУЗЕЮ</w:t>
      </w:r>
    </w:p>
    <w:p w:rsidR="009F7AE6" w:rsidRPr="009F7AE6" w:rsidRDefault="00FA56AC" w:rsidP="0060402F">
      <w:pPr>
        <w:widowControl w:val="0"/>
        <w:tabs>
          <w:tab w:val="left" w:pos="2027"/>
        </w:tabs>
        <w:spacing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6.1. </w:t>
      </w:r>
      <w:r w:rsidR="009F7AE6" w:rsidRPr="009F7AE6">
        <w:rPr>
          <w:rFonts w:ascii="Times New Roman" w:hAnsi="Times New Roman" w:cs="Times New Roman"/>
          <w:sz w:val="28"/>
          <w:szCs w:val="28"/>
        </w:rPr>
        <w:t>Ліквідація Музею історії Університету здійснюється за рішенням Засновника.</w:t>
      </w:r>
    </w:p>
    <w:p w:rsidR="009F7AE6" w:rsidRPr="009F7AE6" w:rsidRDefault="009F7AE6" w:rsidP="0060402F">
      <w:pPr>
        <w:widowControl w:val="0"/>
        <w:tabs>
          <w:tab w:val="left" w:pos="2027"/>
        </w:tabs>
        <w:spacing w:line="240" w:lineRule="auto"/>
        <w:ind w:left="1276" w:hanging="709"/>
        <w:jc w:val="both"/>
        <w:rPr>
          <w:rFonts w:ascii="Times New Roman" w:hAnsi="Times New Roman" w:cs="Times New Roman"/>
          <w:sz w:val="28"/>
          <w:szCs w:val="28"/>
        </w:rPr>
      </w:pPr>
      <w:r w:rsidRPr="009F7AE6">
        <w:rPr>
          <w:rFonts w:ascii="Times New Roman" w:hAnsi="Times New Roman" w:cs="Times New Roman"/>
          <w:sz w:val="28"/>
          <w:szCs w:val="28"/>
        </w:rPr>
        <w:t>6.2.</w:t>
      </w:r>
      <w:r w:rsidRPr="009F7AE6">
        <w:rPr>
          <w:rFonts w:ascii="Times New Roman" w:hAnsi="Times New Roman" w:cs="Times New Roman"/>
          <w:sz w:val="28"/>
          <w:szCs w:val="28"/>
        </w:rPr>
        <w:tab/>
        <w:t>Подальше використання фондів Музею історії Університету визначає Засновник. За погодженням із Міністерством культури та мистецтв України, Міністерством освіти і науки України передає їх до відповідних профільних музеїв у порядку, передбаченому Положенням про Музейний фонд України.</w:t>
      </w:r>
    </w:p>
    <w:p w:rsidR="007D0522" w:rsidRPr="009F7AE6" w:rsidRDefault="007D0522" w:rsidP="0060402F">
      <w:pPr>
        <w:spacing w:line="240" w:lineRule="auto"/>
        <w:rPr>
          <w:rFonts w:ascii="Times New Roman" w:hAnsi="Times New Roman" w:cs="Times New Roman"/>
          <w:sz w:val="28"/>
          <w:szCs w:val="28"/>
        </w:rPr>
      </w:pPr>
    </w:p>
    <w:sectPr w:rsidR="007D0522" w:rsidRPr="009F7AE6" w:rsidSect="00A722C6">
      <w:footerReference w:type="default" r:id="rId7"/>
      <w:pgSz w:w="11909" w:h="16834"/>
      <w:pgMar w:top="851" w:right="851" w:bottom="851" w:left="85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0DA" w:rsidRDefault="004D40DA" w:rsidP="009F7AE6">
      <w:pPr>
        <w:spacing w:after="0" w:line="240" w:lineRule="auto"/>
      </w:pPr>
      <w:r>
        <w:separator/>
      </w:r>
    </w:p>
  </w:endnote>
  <w:endnote w:type="continuationSeparator" w:id="1">
    <w:p w:rsidR="004D40DA" w:rsidRDefault="004D40DA" w:rsidP="009F7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530"/>
      <w:docPartObj>
        <w:docPartGallery w:val="Page Numbers (Bottom of Page)"/>
        <w:docPartUnique/>
      </w:docPartObj>
    </w:sdtPr>
    <w:sdtContent>
      <w:p w:rsidR="009F7AE6" w:rsidRDefault="00A722C6">
        <w:pPr>
          <w:pStyle w:val="a7"/>
          <w:jc w:val="center"/>
        </w:pPr>
        <w:fldSimple w:instr=" PAGE   \* MERGEFORMAT ">
          <w:r w:rsidR="00853246">
            <w:rPr>
              <w:noProof/>
            </w:rPr>
            <w:t>6</w:t>
          </w:r>
        </w:fldSimple>
      </w:p>
    </w:sdtContent>
  </w:sdt>
  <w:p w:rsidR="009F7AE6" w:rsidRDefault="009F7A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0DA" w:rsidRDefault="004D40DA" w:rsidP="009F7AE6">
      <w:pPr>
        <w:spacing w:after="0" w:line="240" w:lineRule="auto"/>
      </w:pPr>
      <w:r>
        <w:separator/>
      </w:r>
    </w:p>
  </w:footnote>
  <w:footnote w:type="continuationSeparator" w:id="1">
    <w:p w:rsidR="004D40DA" w:rsidRDefault="004D40DA" w:rsidP="009F7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376C"/>
    <w:multiLevelType w:val="multilevel"/>
    <w:tmpl w:val="BFE8A64C"/>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2092EE8"/>
    <w:multiLevelType w:val="hybridMultilevel"/>
    <w:tmpl w:val="F8D49E5A"/>
    <w:lvl w:ilvl="0" w:tplc="B21C7C82">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356"/>
        </w:tabs>
        <w:ind w:left="2356" w:hanging="360"/>
      </w:pPr>
      <w:rPr>
        <w:rFonts w:ascii="Courier New" w:hAnsi="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2">
    <w:nsid w:val="7C314039"/>
    <w:multiLevelType w:val="multilevel"/>
    <w:tmpl w:val="1F86D248"/>
    <w:lvl w:ilvl="0">
      <w:start w:val="3"/>
      <w:numFmt w:val="decimal"/>
      <w:lvlText w:val="%1."/>
      <w:lvlJc w:val="left"/>
      <w:pPr>
        <w:tabs>
          <w:tab w:val="num" w:pos="1272"/>
        </w:tabs>
        <w:ind w:left="1272" w:hanging="7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F7AE6"/>
    <w:rsid w:val="000706B1"/>
    <w:rsid w:val="00395273"/>
    <w:rsid w:val="00413E24"/>
    <w:rsid w:val="00475C18"/>
    <w:rsid w:val="004D40DA"/>
    <w:rsid w:val="0060402F"/>
    <w:rsid w:val="006A5742"/>
    <w:rsid w:val="007D0522"/>
    <w:rsid w:val="00853246"/>
    <w:rsid w:val="00866ECB"/>
    <w:rsid w:val="008C0B58"/>
    <w:rsid w:val="009F7AE6"/>
    <w:rsid w:val="00A722C6"/>
    <w:rsid w:val="00FA56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6"/>
  </w:style>
  <w:style w:type="paragraph" w:styleId="4">
    <w:name w:val="heading 4"/>
    <w:basedOn w:val="a"/>
    <w:next w:val="a"/>
    <w:link w:val="40"/>
    <w:qFormat/>
    <w:rsid w:val="009F7AE6"/>
    <w:pPr>
      <w:keepNext/>
      <w:widowControl w:val="0"/>
      <w:tabs>
        <w:tab w:val="left" w:pos="1080"/>
      </w:tab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7AE6"/>
    <w:rPr>
      <w:rFonts w:ascii="Times New Roman" w:eastAsia="Times New Roman" w:hAnsi="Times New Roman" w:cs="Times New Roman"/>
      <w:b/>
      <w:sz w:val="28"/>
      <w:szCs w:val="20"/>
      <w:lang w:eastAsia="ru-RU"/>
    </w:rPr>
  </w:style>
  <w:style w:type="paragraph" w:customStyle="1" w:styleId="21">
    <w:name w:val="Основний текст 21"/>
    <w:basedOn w:val="a"/>
    <w:rsid w:val="009F7AE6"/>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ий текст з відступом 21"/>
    <w:basedOn w:val="a"/>
    <w:rsid w:val="009F7AE6"/>
    <w:pPr>
      <w:widowControl w:val="0"/>
      <w:spacing w:after="0" w:line="240" w:lineRule="auto"/>
      <w:ind w:left="1276" w:hanging="709"/>
      <w:jc w:val="both"/>
    </w:pPr>
    <w:rPr>
      <w:rFonts w:ascii="Times New Roman" w:eastAsia="Times New Roman" w:hAnsi="Times New Roman" w:cs="Times New Roman"/>
      <w:sz w:val="28"/>
      <w:szCs w:val="20"/>
      <w:lang w:eastAsia="ru-RU"/>
    </w:rPr>
  </w:style>
  <w:style w:type="paragraph" w:customStyle="1" w:styleId="31">
    <w:name w:val="Основний текст з відступом 31"/>
    <w:basedOn w:val="a"/>
    <w:rsid w:val="009F7AE6"/>
    <w:pPr>
      <w:widowControl w:val="0"/>
      <w:spacing w:after="0" w:line="240" w:lineRule="auto"/>
      <w:ind w:left="1276" w:hanging="283"/>
      <w:jc w:val="both"/>
    </w:pPr>
    <w:rPr>
      <w:rFonts w:ascii="Times New Roman" w:eastAsia="Times New Roman" w:hAnsi="Times New Roman" w:cs="Times New Roman"/>
      <w:sz w:val="28"/>
      <w:szCs w:val="20"/>
      <w:lang w:eastAsia="ru-RU"/>
    </w:rPr>
  </w:style>
  <w:style w:type="paragraph" w:styleId="a3">
    <w:name w:val="Body Text Indent"/>
    <w:basedOn w:val="a"/>
    <w:link w:val="a4"/>
    <w:semiHidden/>
    <w:rsid w:val="009F7AE6"/>
    <w:pPr>
      <w:widowControl w:val="0"/>
      <w:spacing w:after="0" w:line="240" w:lineRule="auto"/>
      <w:ind w:left="1276" w:hanging="709"/>
      <w:jc w:val="center"/>
    </w:pPr>
    <w:rPr>
      <w:rFonts w:ascii="Times New Roman" w:eastAsia="Times New Roman" w:hAnsi="Times New Roman" w:cs="Times New Roman"/>
      <w:b/>
      <w:sz w:val="28"/>
      <w:szCs w:val="20"/>
      <w:lang w:eastAsia="ru-RU"/>
    </w:rPr>
  </w:style>
  <w:style w:type="character" w:customStyle="1" w:styleId="a4">
    <w:name w:val="Основний текст з відступом Знак"/>
    <w:basedOn w:val="a0"/>
    <w:link w:val="a3"/>
    <w:semiHidden/>
    <w:rsid w:val="009F7AE6"/>
    <w:rPr>
      <w:rFonts w:ascii="Times New Roman" w:eastAsia="Times New Roman" w:hAnsi="Times New Roman" w:cs="Times New Roman"/>
      <w:b/>
      <w:sz w:val="28"/>
      <w:szCs w:val="20"/>
      <w:lang w:eastAsia="ru-RU"/>
    </w:rPr>
  </w:style>
  <w:style w:type="paragraph" w:styleId="2">
    <w:name w:val="Body Text Indent 2"/>
    <w:basedOn w:val="a"/>
    <w:link w:val="20"/>
    <w:semiHidden/>
    <w:rsid w:val="009F7AE6"/>
    <w:pPr>
      <w:widowControl w:val="0"/>
      <w:spacing w:after="0" w:line="240" w:lineRule="auto"/>
      <w:ind w:left="1276"/>
      <w:jc w:val="both"/>
    </w:pPr>
    <w:rPr>
      <w:rFonts w:ascii="Times New Roman" w:eastAsia="Times New Roman" w:hAnsi="Times New Roman" w:cs="Times New Roman"/>
      <w:sz w:val="28"/>
      <w:szCs w:val="20"/>
      <w:lang w:val="ru-RU" w:eastAsia="ru-RU"/>
    </w:rPr>
  </w:style>
  <w:style w:type="character" w:customStyle="1" w:styleId="20">
    <w:name w:val="Основний текст з відступом 2 Знак"/>
    <w:basedOn w:val="a0"/>
    <w:link w:val="2"/>
    <w:semiHidden/>
    <w:rsid w:val="009F7AE6"/>
    <w:rPr>
      <w:rFonts w:ascii="Times New Roman" w:eastAsia="Times New Roman" w:hAnsi="Times New Roman" w:cs="Times New Roman"/>
      <w:sz w:val="28"/>
      <w:szCs w:val="20"/>
      <w:lang w:val="ru-RU" w:eastAsia="ru-RU"/>
    </w:rPr>
  </w:style>
  <w:style w:type="paragraph" w:styleId="a5">
    <w:name w:val="header"/>
    <w:basedOn w:val="a"/>
    <w:link w:val="a6"/>
    <w:uiPriority w:val="99"/>
    <w:semiHidden/>
    <w:unhideWhenUsed/>
    <w:rsid w:val="009F7AE6"/>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9F7AE6"/>
  </w:style>
  <w:style w:type="paragraph" w:styleId="a7">
    <w:name w:val="footer"/>
    <w:basedOn w:val="a"/>
    <w:link w:val="a8"/>
    <w:uiPriority w:val="99"/>
    <w:unhideWhenUsed/>
    <w:rsid w:val="009F7AE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F7AE6"/>
  </w:style>
  <w:style w:type="paragraph" w:styleId="a9">
    <w:name w:val="List Paragraph"/>
    <w:basedOn w:val="a"/>
    <w:uiPriority w:val="34"/>
    <w:qFormat/>
    <w:rsid w:val="008C0B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6552</Words>
  <Characters>3736</Characters>
  <Application>Microsoft Office Word</Application>
  <DocSecurity>0</DocSecurity>
  <Lines>31</Lines>
  <Paragraphs>20</Paragraphs>
  <ScaleCrop>false</ScaleCrop>
  <Company>2</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Y_Gudima</dc:creator>
  <cp:keywords/>
  <dc:description/>
  <cp:lastModifiedBy>Y_Gudima</cp:lastModifiedBy>
  <cp:revision>12</cp:revision>
  <dcterms:created xsi:type="dcterms:W3CDTF">2010-09-17T08:36:00Z</dcterms:created>
  <dcterms:modified xsi:type="dcterms:W3CDTF">2010-09-17T08:56:00Z</dcterms:modified>
</cp:coreProperties>
</file>